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473D6" w14:textId="5813A381" w:rsidR="00D22C1D" w:rsidRDefault="008815BE" w:rsidP="008815BE">
      <w:pPr>
        <w:spacing w:after="36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49776E1" wp14:editId="61E5D063">
            <wp:simplePos x="0" y="0"/>
            <wp:positionH relativeFrom="column">
              <wp:posOffset>146685</wp:posOffset>
            </wp:positionH>
            <wp:positionV relativeFrom="paragraph">
              <wp:posOffset>569595</wp:posOffset>
            </wp:positionV>
            <wp:extent cx="1122680" cy="10922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C1D">
        <w:rPr>
          <w:rFonts w:ascii="Times New Roman" w:hAnsi="Times New Roman" w:cs="Times New Roman"/>
          <w:sz w:val="28"/>
          <w:szCs w:val="28"/>
        </w:rPr>
        <w:t>Приложение к письму ООР «РСПП»</w:t>
      </w:r>
      <w:r>
        <w:rPr>
          <w:rFonts w:ascii="Times New Roman" w:hAnsi="Times New Roman" w:cs="Times New Roman"/>
          <w:sz w:val="28"/>
          <w:szCs w:val="28"/>
        </w:rPr>
        <w:br/>
      </w:r>
      <w:r w:rsidR="00D22C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апреля</w:t>
      </w:r>
      <w:r w:rsidR="00D22C1D">
        <w:rPr>
          <w:rFonts w:ascii="Times New Roman" w:hAnsi="Times New Roman" w:cs="Times New Roman"/>
          <w:sz w:val="28"/>
          <w:szCs w:val="28"/>
        </w:rPr>
        <w:t xml:space="preserve"> 2024 года № </w:t>
      </w:r>
      <w:r>
        <w:rPr>
          <w:rFonts w:ascii="Times New Roman" w:hAnsi="Times New Roman" w:cs="Times New Roman"/>
          <w:sz w:val="28"/>
          <w:szCs w:val="28"/>
        </w:rPr>
        <w:t>100/04-р</w:t>
      </w:r>
    </w:p>
    <w:p w14:paraId="14DC8CD2" w14:textId="77777777" w:rsidR="001731B6" w:rsidRDefault="001731B6" w:rsidP="00BE17DA">
      <w:pPr>
        <w:spacing w:after="0" w:line="240" w:lineRule="auto"/>
        <w:ind w:left="2552"/>
        <w:jc w:val="center"/>
        <w:rPr>
          <w:rFonts w:ascii="Times New Roman" w:hAnsi="Times New Roman"/>
          <w:color w:val="0070C0"/>
          <w:sz w:val="30"/>
        </w:rPr>
      </w:pPr>
      <w:r>
        <w:rPr>
          <w:rFonts w:ascii="Times New Roman" w:hAnsi="Times New Roman"/>
          <w:color w:val="0070C0"/>
          <w:sz w:val="30"/>
        </w:rPr>
        <w:t xml:space="preserve">РОССИЙСКИЙ СОЮЗ </w:t>
      </w:r>
    </w:p>
    <w:p w14:paraId="6C1310FB" w14:textId="77777777" w:rsidR="001731B6" w:rsidRDefault="001731B6" w:rsidP="001731B6">
      <w:pPr>
        <w:spacing w:after="0" w:line="240" w:lineRule="auto"/>
        <w:ind w:left="2410"/>
        <w:jc w:val="center"/>
        <w:rPr>
          <w:rFonts w:ascii="Times New Roman" w:hAnsi="Times New Roman"/>
          <w:color w:val="0070C0"/>
          <w:sz w:val="30"/>
        </w:rPr>
      </w:pPr>
      <w:r>
        <w:rPr>
          <w:rFonts w:ascii="Times New Roman" w:hAnsi="Times New Roman"/>
          <w:color w:val="0070C0"/>
          <w:sz w:val="30"/>
        </w:rPr>
        <w:t>ПРОМЫШЛЕННИКОВ И ПРЕДПРИНИМАТЕЛЕЙ</w:t>
      </w:r>
    </w:p>
    <w:p w14:paraId="327F4BF8" w14:textId="77777777" w:rsidR="001731B6" w:rsidRDefault="001731B6" w:rsidP="001731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35"/>
        </w:rPr>
      </w:pPr>
      <w:r>
        <w:rPr>
          <w:rFonts w:ascii="Times New Roman" w:hAnsi="Times New Roman"/>
          <w:b/>
          <w:color w:val="0070C0"/>
          <w:sz w:val="35"/>
        </w:rPr>
        <w:t xml:space="preserve">           </w:t>
      </w:r>
      <w:r>
        <w:rPr>
          <w:rFonts w:ascii="Times New Roman" w:hAnsi="Times New Roman"/>
          <w:b/>
          <w:color w:val="0070C0"/>
          <w:sz w:val="35"/>
        </w:rPr>
        <w:tab/>
        <w:t xml:space="preserve">             Комитет по развитию пенсионных систем</w:t>
      </w:r>
    </w:p>
    <w:p w14:paraId="58923A64" w14:textId="77777777" w:rsidR="001731B6" w:rsidRDefault="001731B6" w:rsidP="001731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35"/>
        </w:rPr>
      </w:pPr>
      <w:r>
        <w:rPr>
          <w:rFonts w:ascii="Times New Roman" w:hAnsi="Times New Roman"/>
          <w:b/>
          <w:color w:val="0070C0"/>
          <w:sz w:val="35"/>
        </w:rPr>
        <w:tab/>
      </w:r>
      <w:r>
        <w:rPr>
          <w:rFonts w:ascii="Times New Roman" w:hAnsi="Times New Roman"/>
          <w:b/>
          <w:color w:val="0070C0"/>
          <w:sz w:val="35"/>
        </w:rPr>
        <w:tab/>
      </w:r>
      <w:r>
        <w:rPr>
          <w:rFonts w:ascii="Times New Roman" w:hAnsi="Times New Roman"/>
          <w:b/>
          <w:color w:val="0070C0"/>
          <w:sz w:val="35"/>
        </w:rPr>
        <w:tab/>
        <w:t xml:space="preserve">      и социальному страхованию</w:t>
      </w:r>
    </w:p>
    <w:p w14:paraId="7CD6EB3C" w14:textId="77777777" w:rsidR="001731B6" w:rsidRDefault="001731B6" w:rsidP="001731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0" w:line="240" w:lineRule="auto"/>
        <w:rPr>
          <w:rFonts w:ascii="Times New Roman" w:hAnsi="Times New Roman"/>
          <w:color w:val="0070C0"/>
          <w:sz w:val="16"/>
        </w:rPr>
      </w:pPr>
      <w:r>
        <w:rPr>
          <w:rFonts w:ascii="Times New Roman" w:hAnsi="Times New Roman"/>
          <w:color w:val="0070C0"/>
          <w:sz w:val="44"/>
        </w:rPr>
        <w:t>__________________________________________</w:t>
      </w:r>
      <w:r>
        <w:rPr>
          <w:rFonts w:ascii="Times New Roman" w:hAnsi="Times New Roman"/>
          <w:color w:val="0070C0"/>
          <w:sz w:val="16"/>
        </w:rPr>
        <w:tab/>
      </w:r>
    </w:p>
    <w:p w14:paraId="5C0B65FD" w14:textId="77777777" w:rsidR="001731B6" w:rsidRDefault="001731B6" w:rsidP="001731B6">
      <w:pPr>
        <w:spacing w:before="120" w:after="0" w:line="240" w:lineRule="auto"/>
        <w:rPr>
          <w:rFonts w:ascii="Times New Roman" w:hAnsi="Times New Roman"/>
          <w:color w:val="0070C0"/>
          <w:sz w:val="20"/>
        </w:rPr>
      </w:pPr>
      <w:r>
        <w:rPr>
          <w:rFonts w:ascii="Times New Roman" w:hAnsi="Times New Roman"/>
          <w:color w:val="0070C0"/>
          <w:sz w:val="20"/>
        </w:rPr>
        <w:t>109240, Москва, Котельническая наб., д.17</w:t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  <w:t xml:space="preserve"> </w:t>
      </w:r>
    </w:p>
    <w:p w14:paraId="3C548B3A" w14:textId="77777777" w:rsidR="001731B6" w:rsidRDefault="001731B6" w:rsidP="001731B6">
      <w:pPr>
        <w:spacing w:after="0" w:line="240" w:lineRule="auto"/>
        <w:rPr>
          <w:rFonts w:ascii="Times New Roman" w:hAnsi="Times New Roman"/>
          <w:color w:val="0070C0"/>
          <w:sz w:val="20"/>
        </w:rPr>
      </w:pPr>
      <w:r>
        <w:rPr>
          <w:rFonts w:ascii="Times New Roman" w:hAnsi="Times New Roman"/>
          <w:color w:val="0070C0"/>
          <w:sz w:val="20"/>
        </w:rPr>
        <w:t>Телефон: +7-495-287-8578</w:t>
      </w:r>
    </w:p>
    <w:p w14:paraId="126E14A1" w14:textId="77777777" w:rsidR="001731B6" w:rsidRDefault="001731B6" w:rsidP="001731B6">
      <w:pPr>
        <w:spacing w:after="0" w:line="240" w:lineRule="auto"/>
        <w:rPr>
          <w:rFonts w:ascii="Times New Roman" w:hAnsi="Times New Roman"/>
          <w:color w:val="0070C0"/>
          <w:sz w:val="20"/>
        </w:rPr>
      </w:pPr>
      <w:r>
        <w:rPr>
          <w:rFonts w:ascii="Times New Roman" w:hAnsi="Times New Roman"/>
          <w:color w:val="0070C0"/>
          <w:sz w:val="20"/>
        </w:rPr>
        <w:t>E-mail: pensions@rspp.ru</w:t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  <w:t xml:space="preserve">            </w:t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</w:r>
      <w:r>
        <w:rPr>
          <w:rFonts w:ascii="Times New Roman" w:hAnsi="Times New Roman"/>
          <w:color w:val="0070C0"/>
          <w:sz w:val="20"/>
        </w:rPr>
        <w:tab/>
      </w:r>
    </w:p>
    <w:p w14:paraId="241A0ED3" w14:textId="77777777" w:rsidR="001731B6" w:rsidRDefault="001731B6" w:rsidP="00491EA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B7802F" w14:textId="6FC315E1" w:rsidR="00A7199C" w:rsidRPr="00A7199C" w:rsidRDefault="001B20E8" w:rsidP="00336023">
      <w:pPr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A7199C" w:rsidRPr="00A7199C">
        <w:rPr>
          <w:rFonts w:ascii="Times New Roman" w:hAnsi="Times New Roman" w:cs="Times New Roman"/>
          <w:sz w:val="28"/>
          <w:szCs w:val="28"/>
        </w:rPr>
        <w:t>ПРОГРАММА</w:t>
      </w:r>
      <w:r w:rsidR="00336023">
        <w:rPr>
          <w:rFonts w:ascii="Times New Roman" w:hAnsi="Times New Roman" w:cs="Times New Roman"/>
          <w:sz w:val="28"/>
          <w:szCs w:val="28"/>
        </w:rPr>
        <w:br/>
      </w:r>
      <w:r w:rsidR="00A7199C" w:rsidRPr="00A7199C">
        <w:rPr>
          <w:rFonts w:ascii="Times New Roman" w:hAnsi="Times New Roman" w:cs="Times New Roman"/>
          <w:sz w:val="28"/>
          <w:szCs w:val="28"/>
        </w:rPr>
        <w:t>ДОЛГОСРОЧНЫХ СБЕРЕЖЕНИЙ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</w:t>
      </w:r>
    </w:p>
    <w:p w14:paraId="18BD4226" w14:textId="77777777" w:rsidR="00A7199C" w:rsidRP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Новые возможности для инвестиций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99C">
        <w:rPr>
          <w:rFonts w:ascii="Times New Roman" w:hAnsi="Times New Roman" w:cs="Times New Roman"/>
          <w:sz w:val="28"/>
          <w:szCs w:val="28"/>
        </w:rPr>
        <w:t>в свое будущее</w:t>
      </w:r>
      <w:r w:rsidR="001B20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F72B0" w14:textId="77777777" w:rsidR="00C97BFD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Что такое программа долгосрочных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99C">
        <w:rPr>
          <w:rFonts w:ascii="Times New Roman" w:hAnsi="Times New Roman" w:cs="Times New Roman"/>
          <w:sz w:val="28"/>
          <w:szCs w:val="28"/>
        </w:rPr>
        <w:t>сбережений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99C">
        <w:rPr>
          <w:rFonts w:ascii="Times New Roman" w:hAnsi="Times New Roman" w:cs="Times New Roman"/>
          <w:sz w:val="28"/>
          <w:szCs w:val="28"/>
        </w:rPr>
        <w:t>и в чём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 w:rsidRPr="00A7199C">
        <w:rPr>
          <w:rFonts w:ascii="Times New Roman" w:hAnsi="Times New Roman" w:cs="Times New Roman"/>
          <w:sz w:val="28"/>
          <w:szCs w:val="28"/>
        </w:rPr>
        <w:t xml:space="preserve"> преимущества?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F9D56" w14:textId="77777777" w:rsid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Программа долгосрочных сбережений (ПДС) - это новый долгосрочный сберегательный продукт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7199C">
        <w:rPr>
          <w:rFonts w:ascii="Times New Roman" w:hAnsi="Times New Roman" w:cs="Times New Roman"/>
          <w:sz w:val="28"/>
          <w:szCs w:val="28"/>
        </w:rPr>
        <w:t>оторый позволит сформировать дополнительный финансовый ресурс на долгосрочные стратегические цели, а также финансовую подушку безопасности, в том числе на случай наступления особых жизненных ситуаций.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3A616" w14:textId="77777777" w:rsid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Долгосрочные сбережения формируются гражданином самостоятельно за счет добровольных взносов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A7199C">
        <w:rPr>
          <w:rFonts w:ascii="Times New Roman" w:hAnsi="Times New Roman" w:cs="Times New Roman"/>
          <w:sz w:val="28"/>
          <w:szCs w:val="28"/>
        </w:rPr>
        <w:t xml:space="preserve"> также за счет средств ранее сформированных пенсионных накоплений и государственной поддержки в виде софинансирования.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77C87" w14:textId="77777777" w:rsid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Использование средств программы возможно на дополнительные выплаты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7199C">
        <w:rPr>
          <w:rFonts w:ascii="Times New Roman" w:hAnsi="Times New Roman" w:cs="Times New Roman"/>
          <w:sz w:val="28"/>
          <w:szCs w:val="28"/>
        </w:rPr>
        <w:t>о истечении 15 лет действия договора или при достижении возраста 55 лет (женщины) и 60 лет (мужчины), а также в качестве единовременной выплаты.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0F520" w14:textId="77777777" w:rsid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Софинансирование со стороны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99C">
        <w:rPr>
          <w:rFonts w:ascii="Times New Roman" w:hAnsi="Times New Roman" w:cs="Times New Roman"/>
          <w:sz w:val="28"/>
          <w:szCs w:val="28"/>
        </w:rPr>
        <w:t>может составить до 36 тысяч рублей в год в течение трех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89B4D" w14:textId="77777777" w:rsid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Получение 13% налогового вычета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7199C">
        <w:rPr>
          <w:rFonts w:ascii="Times New Roman" w:hAnsi="Times New Roman" w:cs="Times New Roman"/>
          <w:sz w:val="28"/>
          <w:szCs w:val="28"/>
        </w:rPr>
        <w:t>о 52 тысяч рублей ежегодно при уплате взносов гражданином в программу до 400 тысяч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AA82D" w14:textId="77777777" w:rsid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 xml:space="preserve">Государственное гарантирование сохранности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A7199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7199C">
        <w:rPr>
          <w:rFonts w:ascii="Times New Roman" w:hAnsi="Times New Roman" w:cs="Times New Roman"/>
          <w:sz w:val="28"/>
          <w:szCs w:val="28"/>
        </w:rPr>
        <w:t xml:space="preserve">нных гражданами средств и дохода от их инвестирования до 2,8 млн рублей, а также </w:t>
      </w:r>
      <w:r w:rsidRPr="00A7199C">
        <w:rPr>
          <w:rFonts w:ascii="Times New Roman" w:hAnsi="Times New Roman" w:cs="Times New Roman"/>
          <w:sz w:val="28"/>
          <w:szCs w:val="28"/>
        </w:rPr>
        <w:lastRenderedPageBreak/>
        <w:t>переведенных в программу пенсионных накоплений и суммы софинансирования.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2799A" w14:textId="77777777" w:rsid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Наследование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7199C">
        <w:rPr>
          <w:rFonts w:ascii="Times New Roman" w:hAnsi="Times New Roman" w:cs="Times New Roman"/>
          <w:sz w:val="28"/>
          <w:szCs w:val="28"/>
        </w:rPr>
        <w:t>формированны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7199C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A7199C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7199C">
        <w:rPr>
          <w:rFonts w:ascii="Times New Roman" w:hAnsi="Times New Roman" w:cs="Times New Roman"/>
          <w:sz w:val="28"/>
          <w:szCs w:val="28"/>
        </w:rPr>
        <w:t>аждан по программе в полном объеме за вычетом выплаченных средств (за исключением случая, если участнику программы назначена пожизненная  периодическая выплата).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FC5B6" w14:textId="77777777" w:rsid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Досрочное снятие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7199C">
        <w:rPr>
          <w:rFonts w:ascii="Times New Roman" w:hAnsi="Times New Roman" w:cs="Times New Roman"/>
          <w:sz w:val="28"/>
          <w:szCs w:val="28"/>
        </w:rPr>
        <w:t xml:space="preserve"> особых жизненных ситуациях (дорогостоящее лечение или потеря кормильца)</w:t>
      </w:r>
      <w:r>
        <w:rPr>
          <w:rFonts w:ascii="Times New Roman" w:hAnsi="Times New Roman" w:cs="Times New Roman"/>
          <w:sz w:val="28"/>
          <w:szCs w:val="28"/>
        </w:rPr>
        <w:t>, когда</w:t>
      </w:r>
      <w:r w:rsidRPr="00A7199C">
        <w:rPr>
          <w:rFonts w:ascii="Times New Roman" w:hAnsi="Times New Roman" w:cs="Times New Roman"/>
          <w:sz w:val="28"/>
          <w:szCs w:val="28"/>
        </w:rPr>
        <w:t xml:space="preserve"> гражданин может без потерь получить до 100% сформированных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0BCDF" w14:textId="77777777" w:rsid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Куда инвестируются средства?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99C">
        <w:rPr>
          <w:rFonts w:ascii="Times New Roman" w:hAnsi="Times New Roman" w:cs="Times New Roman"/>
          <w:sz w:val="28"/>
          <w:szCs w:val="28"/>
        </w:rPr>
        <w:t>Сформированные средства будут вкладываться в ОФЗ, инфраструктурные облигации, корпоративные облигации и прочие ценные бумаги. При этом гражданин может заключить договоры с несколькими операторами, таким образом не только повышая объем накоплений, но и диверсифицируя риски.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A841D" w14:textId="77777777" w:rsidR="00A7199C" w:rsidRP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Кто является оператором программы?</w:t>
      </w:r>
    </w:p>
    <w:p w14:paraId="6EEB22DA" w14:textId="77777777" w:rsidR="00A7199C" w:rsidRP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Негосударственные пенсионные фонды (НПФ) – операторы программы, которые обеспечивают сохранность и доходность сбережений и осуществляют выплаты этих сбережений.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4E8A0" w14:textId="77777777" w:rsidR="00A7199C" w:rsidRP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НПФ – это крупные финансовые организации, многие из которых имеют почти 30-летнюю историю успешной деятельности по реализации пенсионных программ.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D1D76" w14:textId="77777777" w:rsid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>Сейчас на рынке работают 38 фондов, их клиентами являются более 42 млн человек. Около 1,6 млн из них уже получают в НПФ периодические выплаты, объем которых за 2022 год превысил 80 млрд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021D1" w14:textId="77777777" w:rsidR="00A7199C" w:rsidRDefault="00A7199C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9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B20E8" w:rsidRPr="00A7199C">
        <w:rPr>
          <w:rFonts w:ascii="Times New Roman" w:hAnsi="Times New Roman" w:cs="Times New Roman"/>
          <w:sz w:val="28"/>
          <w:szCs w:val="28"/>
        </w:rPr>
        <w:t xml:space="preserve">за деятельностью НПФ </w:t>
      </w:r>
      <w:r w:rsidR="001B20E8">
        <w:rPr>
          <w:rFonts w:ascii="Times New Roman" w:hAnsi="Times New Roman" w:cs="Times New Roman"/>
          <w:sz w:val="28"/>
          <w:szCs w:val="28"/>
        </w:rPr>
        <w:t xml:space="preserve">и </w:t>
      </w:r>
      <w:r w:rsidRPr="00A7199C">
        <w:rPr>
          <w:rFonts w:ascii="Times New Roman" w:hAnsi="Times New Roman" w:cs="Times New Roman"/>
          <w:sz w:val="28"/>
          <w:szCs w:val="28"/>
        </w:rPr>
        <w:t>за инвестированием средств НПФ</w:t>
      </w:r>
      <w:r w:rsidR="001B20E8">
        <w:rPr>
          <w:rFonts w:ascii="Times New Roman" w:hAnsi="Times New Roman" w:cs="Times New Roman"/>
          <w:sz w:val="28"/>
          <w:szCs w:val="28"/>
        </w:rPr>
        <w:t xml:space="preserve"> </w:t>
      </w:r>
      <w:r w:rsidRPr="00A7199C">
        <w:rPr>
          <w:rFonts w:ascii="Times New Roman" w:hAnsi="Times New Roman" w:cs="Times New Roman"/>
          <w:sz w:val="28"/>
          <w:szCs w:val="28"/>
        </w:rPr>
        <w:t>осуществля</w:t>
      </w:r>
      <w:r w:rsidR="001B20E8">
        <w:rPr>
          <w:rFonts w:ascii="Times New Roman" w:hAnsi="Times New Roman" w:cs="Times New Roman"/>
          <w:sz w:val="28"/>
          <w:szCs w:val="28"/>
        </w:rPr>
        <w:t>ет</w:t>
      </w:r>
      <w:r w:rsidRPr="00A7199C">
        <w:rPr>
          <w:rFonts w:ascii="Times New Roman" w:hAnsi="Times New Roman" w:cs="Times New Roman"/>
          <w:sz w:val="28"/>
          <w:szCs w:val="28"/>
        </w:rPr>
        <w:t xml:space="preserve"> Банк России.</w:t>
      </w:r>
      <w:r w:rsidR="001B20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E229E" w14:textId="77777777" w:rsidR="001B20E8" w:rsidRDefault="001B20E8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информация о </w:t>
      </w:r>
      <w:r w:rsidRPr="001B20E8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B20E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B20E8">
        <w:rPr>
          <w:rFonts w:ascii="Times New Roman" w:hAnsi="Times New Roman" w:cs="Times New Roman"/>
          <w:sz w:val="28"/>
          <w:szCs w:val="28"/>
        </w:rPr>
        <w:t xml:space="preserve"> ДОЛГОСРОЧНЫХ СБЕРЕЖЕНИЙ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(ПДС),</w:t>
      </w:r>
      <w:r w:rsidRPr="001B20E8">
        <w:t xml:space="preserve"> </w:t>
      </w:r>
      <w:r w:rsidRPr="001B20E8">
        <w:rPr>
          <w:rFonts w:ascii="Times New Roman" w:hAnsi="Times New Roman" w:cs="Times New Roman"/>
          <w:sz w:val="28"/>
          <w:szCs w:val="28"/>
        </w:rPr>
        <w:t>Калькулятор накоплений по Программе долгосрочных сбережений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20E8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gramStart"/>
      <w:r w:rsidRPr="001B20E8">
        <w:rPr>
          <w:rFonts w:ascii="Times New Roman" w:hAnsi="Times New Roman" w:cs="Times New Roman"/>
          <w:sz w:val="28"/>
          <w:szCs w:val="28"/>
        </w:rPr>
        <w:t>задаваемые</w:t>
      </w:r>
      <w:proofErr w:type="gramEnd"/>
      <w:r w:rsidRPr="001B20E8">
        <w:rPr>
          <w:rFonts w:ascii="Times New Roman" w:hAnsi="Times New Roman" w:cs="Times New Roman"/>
          <w:sz w:val="28"/>
          <w:szCs w:val="28"/>
        </w:rPr>
        <w:t xml:space="preserve"> вопросы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видеогид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ПДС, цитаты и мнения экспертов и СМИ о ПДС, </w:t>
      </w:r>
      <w:r w:rsidRPr="001B20E8">
        <w:rPr>
          <w:rFonts w:ascii="Times New Roman" w:hAnsi="Times New Roman" w:cs="Times New Roman"/>
          <w:sz w:val="28"/>
          <w:szCs w:val="28"/>
        </w:rPr>
        <w:t>актуальный список негосударственных пенсионных фондов</w:t>
      </w:r>
      <w:r>
        <w:rPr>
          <w:rFonts w:ascii="Times New Roman" w:hAnsi="Times New Roman" w:cs="Times New Roman"/>
          <w:sz w:val="28"/>
          <w:szCs w:val="28"/>
        </w:rPr>
        <w:t xml:space="preserve"> (НПФ)  находятся на портале МОИ ФИНАНСЫ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 </w:t>
      </w:r>
    </w:p>
    <w:p w14:paraId="6B03037A" w14:textId="77777777" w:rsidR="001731B6" w:rsidRDefault="001731B6" w:rsidP="001731B6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957BA" w14:textId="77777777" w:rsidR="00A7199C" w:rsidRPr="00A7199C" w:rsidRDefault="00FE5C90" w:rsidP="00D22C1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B20E8" w:rsidRPr="008A7DC5">
          <w:rPr>
            <w:rStyle w:val="a3"/>
            <w:rFonts w:ascii="Times New Roman" w:hAnsi="Times New Roman" w:cs="Times New Roman"/>
            <w:sz w:val="28"/>
            <w:szCs w:val="28"/>
          </w:rPr>
          <w:t>https://моифинансы.рф/programma-dolgosrochnyh-sberezhenij-new/?disableGlobalInfoCollect=false</w:t>
        </w:r>
      </w:hyperlink>
      <w:r w:rsidR="001B20E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7199C" w:rsidRPr="00A7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9C"/>
    <w:rsid w:val="000F3911"/>
    <w:rsid w:val="001731B6"/>
    <w:rsid w:val="001B20E8"/>
    <w:rsid w:val="00336023"/>
    <w:rsid w:val="00491EA8"/>
    <w:rsid w:val="00534C5E"/>
    <w:rsid w:val="008815BE"/>
    <w:rsid w:val="00A7199C"/>
    <w:rsid w:val="00BE17DA"/>
    <w:rsid w:val="00C97BFD"/>
    <w:rsid w:val="00D22C1D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C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0E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20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0E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2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8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7153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03193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632238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243867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4360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087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4;&#1086;&#1080;&#1092;&#1080;&#1085;&#1072;&#1085;&#1089;&#1099;.&#1088;&#1092;/programma-dolgosrochnyh-sberezhenij-new/?disableGlobalInfoCollect=fal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Батаев</dc:creator>
  <cp:lastModifiedBy>Марина В. Косолапенкова</cp:lastModifiedBy>
  <cp:revision>2</cp:revision>
  <dcterms:created xsi:type="dcterms:W3CDTF">2024-04-27T13:46:00Z</dcterms:created>
  <dcterms:modified xsi:type="dcterms:W3CDTF">2024-04-27T13:46:00Z</dcterms:modified>
</cp:coreProperties>
</file>